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IRG FTR STANDARD MINTING LICENCE</w:t>
      </w:r>
    </w:p>
    <w:p>
      <w:pPr>
        <w:jc w:val="center"/>
      </w:pPr>
      <w:r>
        <w:rPr>
          <w:i/>
        </w:rPr>
        <w:t>(Stub document — full text to be provided by the IPR holder)</w:t>
      </w:r>
    </w:p>
    <w:p/>
    <w:p>
      <w:r>
        <w:t>This document is a placeholder for the IRG-FTR Standard Minting Licence, governing the generation and sale of Forward Trade Rights (FTRs) across the 15 sectors of the IRG ecosystem (Agro, Aviation, Taxi, Healthcare, Education, etc.).</w:t>
      </w:r>
    </w:p>
    <w:p>
      <w:r>
        <w:t>A common standard licence applies across all 15 sectors in the present phase. The IPR holder may, at his discretion, issue sector-specific amendments or supplementary terms in future versions. The Licensee acknowledges that the binding terms are those published on the IRG-FTR platform at the time of acceptance.</w:t>
      </w:r>
    </w:p>
    <w:p>
      <w:r>
        <w:t>Licensor: Intech Research Group, having its registered office at 8-69/E, 4th Road, TPS-III, Santacruz East, Mumbai 400 055, INDIA, acting through its Chief Executive Officer, Mr. Jayant Purushottam Tidke.</w:t>
      </w:r>
    </w:p>
    <w:p>
      <w:r>
        <w:t>Licensee: the Minter-Applicant who, by submitting the online registration and clicking "I ACCEPT" with OTP confirmation, acknowledges acceptance of these terms.</w:t>
      </w:r>
    </w:p>
    <w:p>
      <w:pPr>
        <w:pStyle w:val="Heading2"/>
      </w:pPr>
      <w:r>
        <w:t>Key undertakings (summary — full terms in subsequent versions)</w:t>
      </w:r>
    </w:p>
    <w:p>
      <w:pPr>
        <w:pStyle w:val="ListBullet"/>
      </w:pPr>
      <w:r>
        <w:t>The Licensee will not represent FTRs as guaranteed investment instruments.</w:t>
      </w:r>
    </w:p>
    <w:p>
      <w:pPr>
        <w:pStyle w:val="ListBullet"/>
      </w:pPr>
      <w:r>
        <w:t>The Licensee will honour the underlying right-to-buy at the pre-fixed price.</w:t>
      </w:r>
    </w:p>
    <w:p>
      <w:pPr>
        <w:pStyle w:val="ListBullet"/>
      </w:pPr>
      <w:r>
        <w:t>The Licensee will maintain transparent on-chain records of all FTR generation and sale.</w:t>
      </w:r>
    </w:p>
    <w:p>
      <w:pPr>
        <w:pStyle w:val="ListBullet"/>
      </w:pPr>
      <w:r>
        <w:t>The Licensor reserves the right to suspend or revoke the licence for material breach.</w:t>
      </w:r>
    </w:p>
    <w:p>
      <w:pPr>
        <w:pStyle w:val="ListBullet"/>
      </w:pPr>
      <w:r>
        <w:t>Disputes are governed by Indian law, jurisdiction Mumbai.</w:t>
      </w:r>
    </w:p>
    <w:p/>
    <w:p>
      <w:r>
        <w:rPr>
          <w:i/>
        </w:rPr>
        <w:t>Note: Under the provisions of the Information Technology (IT) Act, 2000, a document can be executed electronically by exchange of emails. Your physical signature is not required.</w:t>
      </w:r>
    </w:p>
    <w:p/>
    <w:p>
      <w:pPr>
        <w:jc w:val="center"/>
      </w:pPr>
      <w:r>
        <w:t>(c) 2026 Intech Research Group, Mumbai.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